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00A32">
        <w:trPr>
          <w:trHeight w:hRule="exact" w:val="1666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28.03.2022 №28.</w:t>
            </w:r>
          </w:p>
        </w:tc>
      </w:tr>
      <w:tr w:rsidR="00A00A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0A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00A32">
        <w:trPr>
          <w:trHeight w:hRule="exact" w:val="211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  <w:tc>
          <w:tcPr>
            <w:tcW w:w="2836" w:type="dxa"/>
          </w:tcPr>
          <w:p w:rsidR="00A00A32" w:rsidRDefault="00A00A32"/>
        </w:tc>
      </w:tr>
      <w:tr w:rsidR="00A00A32">
        <w:trPr>
          <w:trHeight w:hRule="exact" w:val="277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0A32">
        <w:trPr>
          <w:trHeight w:hRule="exact" w:val="972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00A32" w:rsidRDefault="00A00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00A32">
        <w:trPr>
          <w:trHeight w:hRule="exact" w:val="277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00A32">
        <w:trPr>
          <w:trHeight w:hRule="exact" w:val="277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  <w:tc>
          <w:tcPr>
            <w:tcW w:w="2836" w:type="dxa"/>
          </w:tcPr>
          <w:p w:rsidR="00A00A32" w:rsidRDefault="00A00A32"/>
        </w:tc>
      </w:tr>
      <w:tr w:rsidR="00A00A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0A32">
        <w:trPr>
          <w:trHeight w:hRule="exact" w:val="1496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литературоведческих исследований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Б1.В.ДВ.01.02</w:t>
            </w:r>
          </w:p>
        </w:tc>
        <w:tc>
          <w:tcPr>
            <w:tcW w:w="2836" w:type="dxa"/>
          </w:tcPr>
          <w:p w:rsidR="00A00A32" w:rsidRDefault="00A00A32"/>
        </w:tc>
      </w:tr>
      <w:tr w:rsidR="00A00A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0A32">
        <w:trPr>
          <w:trHeight w:hRule="exact" w:val="1125"/>
        </w:trPr>
        <w:tc>
          <w:tcPr>
            <w:tcW w:w="426" w:type="dxa"/>
          </w:tcPr>
          <w:p w:rsidR="00A00A32" w:rsidRDefault="00A00A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0A3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00A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  <w:tc>
          <w:tcPr>
            <w:tcW w:w="2836" w:type="dxa"/>
          </w:tcPr>
          <w:p w:rsidR="00A00A32" w:rsidRDefault="00A00A32"/>
        </w:tc>
      </w:tr>
      <w:tr w:rsidR="00A00A32">
        <w:trPr>
          <w:trHeight w:hRule="exact" w:val="155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  <w:tc>
          <w:tcPr>
            <w:tcW w:w="2836" w:type="dxa"/>
          </w:tcPr>
          <w:p w:rsidR="00A00A32" w:rsidRDefault="00A00A32"/>
        </w:tc>
      </w:tr>
      <w:tr w:rsidR="00A00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0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00A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A32" w:rsidRDefault="00A00A3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00A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A32" w:rsidRDefault="00A00A3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00A32">
        <w:trPr>
          <w:trHeight w:hRule="exact" w:val="1722"/>
        </w:trPr>
        <w:tc>
          <w:tcPr>
            <w:tcW w:w="426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1419" w:type="dxa"/>
          </w:tcPr>
          <w:p w:rsidR="00A00A32" w:rsidRDefault="00A00A32"/>
        </w:tc>
        <w:tc>
          <w:tcPr>
            <w:tcW w:w="710" w:type="dxa"/>
          </w:tcPr>
          <w:p w:rsidR="00A00A32" w:rsidRDefault="00A00A32"/>
        </w:tc>
        <w:tc>
          <w:tcPr>
            <w:tcW w:w="426" w:type="dxa"/>
          </w:tcPr>
          <w:p w:rsidR="00A00A32" w:rsidRDefault="00A00A32"/>
        </w:tc>
        <w:tc>
          <w:tcPr>
            <w:tcW w:w="1277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  <w:tc>
          <w:tcPr>
            <w:tcW w:w="2836" w:type="dxa"/>
          </w:tcPr>
          <w:p w:rsidR="00A00A32" w:rsidRDefault="00A00A32"/>
        </w:tc>
      </w:tr>
      <w:tr w:rsidR="00A00A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0A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00A32" w:rsidRDefault="00A00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00A32" w:rsidRDefault="00A00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0A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00A32" w:rsidRDefault="00A00A32">
            <w:pPr>
              <w:spacing w:after="0" w:line="240" w:lineRule="auto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A00A32" w:rsidRDefault="00A00A32">
            <w:pPr>
              <w:spacing w:after="0" w:line="240" w:lineRule="auto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00A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0A32">
        <w:trPr>
          <w:trHeight w:hRule="exact" w:val="555"/>
        </w:trPr>
        <w:tc>
          <w:tcPr>
            <w:tcW w:w="9640" w:type="dxa"/>
          </w:tcPr>
          <w:p w:rsidR="00A00A32" w:rsidRDefault="00A00A32"/>
        </w:tc>
      </w:tr>
      <w:tr w:rsidR="00A00A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0A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2022/2023 учебный год, утвержденным приказом ректора от 28.03.2022 №28;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2022/2023 учебного года: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00A3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Б1.В.ДВ.01.02 «Методология литературоведческих исследований».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0A3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0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0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A00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</w:tc>
      </w:tr>
      <w:tr w:rsidR="00A00A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A00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A00A32">
        <w:trPr>
          <w:trHeight w:hRule="exact" w:val="277"/>
        </w:trPr>
        <w:tc>
          <w:tcPr>
            <w:tcW w:w="9640" w:type="dxa"/>
          </w:tcPr>
          <w:p w:rsidR="00A00A32" w:rsidRDefault="00A00A32"/>
        </w:tc>
      </w:tr>
      <w:tr w:rsidR="00A00A3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0A32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00A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A00A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A00A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A00A3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A00A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A00A32">
        <w:trPr>
          <w:trHeight w:hRule="exact" w:val="416"/>
        </w:trPr>
        <w:tc>
          <w:tcPr>
            <w:tcW w:w="3970" w:type="dxa"/>
          </w:tcPr>
          <w:p w:rsidR="00A00A32" w:rsidRDefault="00A00A32"/>
        </w:tc>
        <w:tc>
          <w:tcPr>
            <w:tcW w:w="3828" w:type="dxa"/>
          </w:tcPr>
          <w:p w:rsidR="00A00A32" w:rsidRDefault="00A00A32"/>
        </w:tc>
        <w:tc>
          <w:tcPr>
            <w:tcW w:w="852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</w:tr>
      <w:tr w:rsidR="00A00A3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00A3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00A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00A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A00A32"/>
        </w:tc>
      </w:tr>
      <w:tr w:rsidR="00A00A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A00A32"/>
        </w:tc>
      </w:tr>
      <w:tr w:rsidR="00A00A3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</w:p>
          <w:p w:rsidR="00A00A32" w:rsidRDefault="00BC0E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литературы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лингвистических исследований по русистике</w:t>
            </w:r>
          </w:p>
          <w:p w:rsidR="00A00A32" w:rsidRDefault="00BC0E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  <w:p w:rsidR="00A00A32" w:rsidRDefault="00BC0E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A00A3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0A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A32">
        <w:trPr>
          <w:trHeight w:hRule="exact" w:val="416"/>
        </w:trPr>
        <w:tc>
          <w:tcPr>
            <w:tcW w:w="3970" w:type="dxa"/>
          </w:tcPr>
          <w:p w:rsidR="00A00A32" w:rsidRDefault="00A00A32"/>
        </w:tc>
        <w:tc>
          <w:tcPr>
            <w:tcW w:w="3828" w:type="dxa"/>
          </w:tcPr>
          <w:p w:rsidR="00A00A32" w:rsidRDefault="00A00A32"/>
        </w:tc>
        <w:tc>
          <w:tcPr>
            <w:tcW w:w="852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</w:tr>
      <w:tr w:rsidR="00A00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A00A32">
        <w:trPr>
          <w:trHeight w:hRule="exact" w:val="277"/>
        </w:trPr>
        <w:tc>
          <w:tcPr>
            <w:tcW w:w="3970" w:type="dxa"/>
          </w:tcPr>
          <w:p w:rsidR="00A00A32" w:rsidRDefault="00A00A32"/>
        </w:tc>
        <w:tc>
          <w:tcPr>
            <w:tcW w:w="3828" w:type="dxa"/>
          </w:tcPr>
          <w:p w:rsidR="00A00A32" w:rsidRDefault="00A00A32"/>
        </w:tc>
        <w:tc>
          <w:tcPr>
            <w:tcW w:w="852" w:type="dxa"/>
          </w:tcPr>
          <w:p w:rsidR="00A00A32" w:rsidRDefault="00A00A32"/>
        </w:tc>
        <w:tc>
          <w:tcPr>
            <w:tcW w:w="993" w:type="dxa"/>
          </w:tcPr>
          <w:p w:rsidR="00A00A32" w:rsidRDefault="00A00A32"/>
        </w:tc>
      </w:tr>
      <w:tr w:rsidR="00A00A32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0A3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A00A32">
        <w:trPr>
          <w:trHeight w:hRule="exact" w:val="416"/>
        </w:trPr>
        <w:tc>
          <w:tcPr>
            <w:tcW w:w="5671" w:type="dxa"/>
          </w:tcPr>
          <w:p w:rsidR="00A00A32" w:rsidRDefault="00A00A32"/>
        </w:tc>
        <w:tc>
          <w:tcPr>
            <w:tcW w:w="1702" w:type="dxa"/>
          </w:tcPr>
          <w:p w:rsidR="00A00A32" w:rsidRDefault="00A00A32"/>
        </w:tc>
        <w:tc>
          <w:tcPr>
            <w:tcW w:w="1135" w:type="dxa"/>
          </w:tcPr>
          <w:p w:rsidR="00A00A32" w:rsidRDefault="00A00A32"/>
        </w:tc>
        <w:tc>
          <w:tcPr>
            <w:tcW w:w="1135" w:type="dxa"/>
          </w:tcPr>
          <w:p w:rsidR="00A00A32" w:rsidRDefault="00A00A32"/>
        </w:tc>
      </w:tr>
      <w:tr w:rsidR="00A00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школы в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литературоведении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гуманитарно-филологической мысли России в конце XVIII – первой половине XIX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гуманитарно-филологической мысли России в конце XVIII – первой половине XIX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школы в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литературоведении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школы в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литературоведении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0A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0A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00A32">
        <w:trPr>
          <w:trHeight w:hRule="exact" w:val="130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0A32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0A32" w:rsidRDefault="00BC0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0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0A32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специфика литературоведческого исследования. Основные цели, задачи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гуманитарно-филологической мысли России в конце XVIII – первой половине XIX в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Академические школы в отечественном литературоведении второй половины XIX в. Мифологическая школа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Культурно-историческая школа и сравнительно-историческое литературоведение А. Н. Веселовского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Мифологическая (неомифологическая) школа в ХХ в. Фрейдизм и психоанализ в отечественном литературоведении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аспекты парадигмы филологического знания. Технология литературоведческого анализа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00A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гуманитарно-филологической мысли России в конце XVIII – первой половине XIX в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аспекты парадигмы филологического знания. Технология литературоведческого анализа</w:t>
            </w:r>
          </w:p>
        </w:tc>
      </w:tr>
      <w:tr w:rsidR="00A00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00A3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специфика литературоведческого исследования. Основные цели, задачи</w:t>
            </w:r>
          </w:p>
        </w:tc>
      </w:tr>
      <w:tr w:rsidR="00A00A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Академические школы в отечественном литературоведении второй половины XIX в. Мифологическая школа</w:t>
            </w:r>
          </w:p>
        </w:tc>
      </w:tr>
      <w:tr w:rsidR="00A00A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Культурно-историческая школа и сравнительно-историческое литературоведение А. Н. Веселовского</w:t>
            </w:r>
          </w:p>
        </w:tc>
      </w:tr>
    </w:tbl>
    <w:p w:rsidR="00A00A32" w:rsidRDefault="00BC0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0A32">
        <w:trPr>
          <w:trHeight w:hRule="exact" w:val="3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Мифологическая (неомифологическая) школа в ХХ в. Фрейдизм и психоанализ в отечественном литературоведении</w:t>
            </w:r>
          </w:p>
        </w:tc>
      </w:tr>
      <w:tr w:rsidR="00A00A3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/>
        </w:tc>
      </w:tr>
      <w:tr w:rsidR="00A00A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A00A32">
            <w:pPr>
              <w:spacing w:after="0" w:line="240" w:lineRule="auto"/>
              <w:rPr>
                <w:sz w:val="24"/>
                <w:szCs w:val="24"/>
              </w:rPr>
            </w:pP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0A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литературоведческих исследований» / Котлярова Т.С.. – Омск: Изд-во Омской гуманитарной академии, 2022.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0A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0A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364BF">
                <w:rPr>
                  <w:rStyle w:val="a3"/>
                </w:rPr>
                <w:t>https://urait.ru/bcode/474208</w:t>
              </w:r>
            </w:hyperlink>
            <w:r>
              <w:t xml:space="preserve"> </w:t>
            </w:r>
          </w:p>
        </w:tc>
      </w:tr>
      <w:tr w:rsidR="00A00A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Эсалнек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364BF">
                <w:rPr>
                  <w:rStyle w:val="a3"/>
                </w:rPr>
                <w:t>https://urait.ru/bcode/472448</w:t>
              </w:r>
            </w:hyperlink>
            <w:r>
              <w:t xml:space="preserve"> </w:t>
            </w:r>
          </w:p>
        </w:tc>
      </w:tr>
      <w:tr w:rsidR="00A00A32">
        <w:trPr>
          <w:trHeight w:hRule="exact" w:val="304"/>
        </w:trPr>
        <w:tc>
          <w:tcPr>
            <w:tcW w:w="285" w:type="dxa"/>
          </w:tcPr>
          <w:p w:rsidR="00A00A32" w:rsidRDefault="00A00A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0A3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A32" w:rsidRDefault="00BC0E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364BF">
                <w:rPr>
                  <w:rStyle w:val="a3"/>
                </w:rPr>
                <w:t>https://urait.ru/bcode/475575</w:t>
              </w:r>
            </w:hyperlink>
            <w:r>
              <w:t xml:space="preserve"> </w:t>
            </w:r>
          </w:p>
        </w:tc>
      </w:tr>
    </w:tbl>
    <w:p w:rsidR="00A00A32" w:rsidRDefault="00A00A32"/>
    <w:sectPr w:rsidR="00A00A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64BF"/>
    <w:rsid w:val="00A00A32"/>
    <w:rsid w:val="00BC0E22"/>
    <w:rsid w:val="00BE42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575" TargetMode="External"/><Relationship Id="rId5" Type="http://schemas.openxmlformats.org/officeDocument/2006/relationships/hyperlink" Target="https://urait.ru/bcode/472448" TargetMode="External"/><Relationship Id="rId4" Type="http://schemas.openxmlformats.org/officeDocument/2006/relationships/hyperlink" Target="https://urait.ru/bcode/474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3750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2022-2023_ФГОС3++2022_Бак-ОФО-ПО2(РЯ иЛ)(22)_plx_Методология литературоведческих исследований</dc:title>
  <dc:creator>FastReport.NET</dc:creator>
  <cp:lastModifiedBy>Mark Bernstorf</cp:lastModifiedBy>
  <cp:revision>4</cp:revision>
  <dcterms:created xsi:type="dcterms:W3CDTF">2022-05-10T09:09:00Z</dcterms:created>
  <dcterms:modified xsi:type="dcterms:W3CDTF">2022-11-13T20:31:00Z</dcterms:modified>
</cp:coreProperties>
</file>